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2AB9" w14:textId="6FFB7533" w:rsidR="008332C5" w:rsidRDefault="008332C5" w:rsidP="002A617E">
      <w:pPr>
        <w:pStyle w:val="Heading1"/>
        <w:jc w:val="right"/>
      </w:pPr>
      <w:r>
        <w:rPr>
          <w:noProof/>
        </w:rPr>
        <w:drawing>
          <wp:inline distT="0" distB="0" distL="0" distR="0" wp14:anchorId="1CCC1EFD" wp14:editId="66BAA4B9">
            <wp:extent cx="3716020" cy="742950"/>
            <wp:effectExtent l="0" t="0" r="0" b="0"/>
            <wp:docPr id="1859958475"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58475"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4456" cy="746636"/>
                    </a:xfrm>
                    <a:prstGeom prst="rect">
                      <a:avLst/>
                    </a:prstGeom>
                  </pic:spPr>
                </pic:pic>
              </a:graphicData>
            </a:graphic>
          </wp:inline>
        </w:drawing>
      </w:r>
    </w:p>
    <w:p w14:paraId="1F0CE0FF" w14:textId="3B809EFD" w:rsidR="008332C5" w:rsidRPr="00BA2743" w:rsidRDefault="008332C5" w:rsidP="000C472F">
      <w:pPr>
        <w:pStyle w:val="Heading1"/>
        <w:rPr>
          <w:rFonts w:ascii="Arial Bold" w:hAnsi="Arial Bold"/>
          <w:sz w:val="72"/>
        </w:rPr>
      </w:pPr>
      <w:r w:rsidRPr="00BA2743">
        <w:rPr>
          <w:rFonts w:ascii="Arial Bold" w:hAnsi="Arial Bold"/>
          <w:sz w:val="72"/>
        </w:rPr>
        <w:t>Summary: Crown response to the Royal Commission into Historical Abuse in State Care and in the Care of Faith-based institutions</w:t>
      </w:r>
    </w:p>
    <w:p w14:paraId="4C205F18" w14:textId="77777777" w:rsidR="008332C5" w:rsidRPr="006D7DF5" w:rsidRDefault="008332C5" w:rsidP="009316BC">
      <w:r>
        <w:t>May 2025</w:t>
      </w:r>
    </w:p>
    <w:p w14:paraId="10ECE800" w14:textId="77777777" w:rsidR="008332C5" w:rsidRPr="009A324A" w:rsidRDefault="008332C5" w:rsidP="009A324A">
      <w:pPr>
        <w:pStyle w:val="Heading2"/>
      </w:pPr>
      <w:r w:rsidRPr="009A324A">
        <w:t>Introduction</w:t>
      </w:r>
    </w:p>
    <w:p w14:paraId="6B8CF807" w14:textId="77777777" w:rsidR="008332C5" w:rsidRPr="009316BC" w:rsidRDefault="008332C5" w:rsidP="009316BC">
      <w:r w:rsidRPr="009316BC">
        <w:t>The Government has released its response to the Royal Commission of Inquiry into Historical Abuse in State Care and in the Care of Faith-based Institutions (the Royal Commission).</w:t>
      </w:r>
    </w:p>
    <w:p w14:paraId="1A140EF2" w14:textId="77777777" w:rsidR="008332C5" w:rsidRDefault="008332C5" w:rsidP="009316BC">
      <w:r>
        <w:t>This summary is about the Government’s response.</w:t>
      </w:r>
    </w:p>
    <w:p w14:paraId="1128D65A" w14:textId="77777777" w:rsidR="00181494" w:rsidRDefault="008332C5" w:rsidP="009316BC">
      <w:r w:rsidRPr="0029412D">
        <w:rPr>
          <w:rFonts w:cs="Calibri"/>
        </w:rPr>
        <w:lastRenderedPageBreak/>
        <w:t>The Royal Commission was established by Government in 2018</w:t>
      </w:r>
      <w:r>
        <w:rPr>
          <w:rFonts w:cs="Calibri"/>
        </w:rPr>
        <w:t xml:space="preserve"> </w:t>
      </w:r>
      <w:r w:rsidRPr="712ED4BB">
        <w:t>to investigate what happened to children, young people and adults in care from 1950-1999</w:t>
      </w:r>
      <w:r>
        <w:t xml:space="preserve">. </w:t>
      </w:r>
    </w:p>
    <w:p w14:paraId="0E8E0AB2" w14:textId="2420960A" w:rsidR="008332C5" w:rsidRDefault="008332C5" w:rsidP="009316BC">
      <w:r w:rsidRPr="00125E0C">
        <w:t>The Royal Commission also heard about abuse in care settings up to</w:t>
      </w:r>
      <w:r>
        <w:t xml:space="preserve"> the</w:t>
      </w:r>
      <w:r w:rsidRPr="00125E0C">
        <w:t xml:space="preserve"> present</w:t>
      </w:r>
      <w:r>
        <w:t xml:space="preserve"> day.</w:t>
      </w:r>
    </w:p>
    <w:p w14:paraId="7A3D0BA7" w14:textId="77777777" w:rsidR="008332C5" w:rsidRPr="008F3BB2" w:rsidRDefault="008332C5" w:rsidP="009B44DA">
      <w:pPr>
        <w:spacing w:after="80"/>
      </w:pPr>
      <w:r w:rsidRPr="008F3BB2">
        <w:t>The Royal Commission</w:t>
      </w:r>
      <w:r>
        <w:t xml:space="preserve"> used</w:t>
      </w:r>
      <w:r w:rsidRPr="008F3BB2">
        <w:t xml:space="preserve"> information from </w:t>
      </w:r>
      <w:r>
        <w:t>public</w:t>
      </w:r>
      <w:r w:rsidRPr="008F3BB2">
        <w:t xml:space="preserve"> hearings, interviews with survivors</w:t>
      </w:r>
      <w:r>
        <w:t xml:space="preserve">, advocates, organisations and other evidence, to make more than 200 </w:t>
      </w:r>
      <w:r w:rsidRPr="008F3BB2">
        <w:t xml:space="preserve">recommendations in </w:t>
      </w:r>
      <w:r>
        <w:t>two reports</w:t>
      </w:r>
      <w:r w:rsidRPr="008F3BB2">
        <w:t>:</w:t>
      </w:r>
    </w:p>
    <w:p w14:paraId="12F50054" w14:textId="197A5628" w:rsidR="008332C5" w:rsidRPr="009B44DA" w:rsidRDefault="009B44DA" w:rsidP="009B44DA">
      <w:pPr>
        <w:ind w:left="720" w:hanging="720"/>
        <w:rPr>
          <w:lang w:val="en-NZ"/>
        </w:rPr>
      </w:pPr>
      <w:r w:rsidRPr="009B44DA">
        <w:rPr>
          <w:b/>
          <w:bCs/>
          <w:lang w:val="en-NZ"/>
        </w:rPr>
        <w:t>1.</w:t>
      </w:r>
      <w:r>
        <w:rPr>
          <w:lang w:val="en-NZ"/>
        </w:rPr>
        <w:tab/>
      </w:r>
      <w:r w:rsidR="008332C5" w:rsidRPr="009B44DA">
        <w:rPr>
          <w:lang w:val="en-NZ"/>
        </w:rPr>
        <w:t xml:space="preserve">2021 redress report, He </w:t>
      </w:r>
      <w:proofErr w:type="spellStart"/>
      <w:r w:rsidR="008332C5" w:rsidRPr="009B44DA">
        <w:rPr>
          <w:lang w:val="en-NZ"/>
        </w:rPr>
        <w:t>Purapura</w:t>
      </w:r>
      <w:proofErr w:type="spellEnd"/>
      <w:r w:rsidR="008332C5" w:rsidRPr="009B44DA">
        <w:rPr>
          <w:lang w:val="en-NZ"/>
        </w:rPr>
        <w:t xml:space="preserve"> Ora, He Māra Tipu from Redress to </w:t>
      </w:r>
      <w:proofErr w:type="spellStart"/>
      <w:r w:rsidR="008332C5" w:rsidRPr="009B44DA">
        <w:rPr>
          <w:lang w:val="en-NZ"/>
        </w:rPr>
        <w:t>Puretumu</w:t>
      </w:r>
      <w:proofErr w:type="spellEnd"/>
      <w:r w:rsidR="008332C5" w:rsidRPr="009B44DA">
        <w:rPr>
          <w:lang w:val="en-NZ"/>
        </w:rPr>
        <w:t xml:space="preserve"> </w:t>
      </w:r>
      <w:proofErr w:type="spellStart"/>
      <w:r w:rsidR="008332C5" w:rsidRPr="009B44DA">
        <w:rPr>
          <w:lang w:val="en-NZ"/>
        </w:rPr>
        <w:t>Torowhānui</w:t>
      </w:r>
      <w:proofErr w:type="spellEnd"/>
      <w:r w:rsidR="008332C5" w:rsidRPr="009B44DA">
        <w:rPr>
          <w:lang w:val="en-NZ"/>
        </w:rPr>
        <w:t xml:space="preserve"> (He </w:t>
      </w:r>
      <w:proofErr w:type="spellStart"/>
      <w:r w:rsidR="008332C5" w:rsidRPr="009B44DA">
        <w:rPr>
          <w:lang w:val="en-NZ"/>
        </w:rPr>
        <w:t>Purapura</w:t>
      </w:r>
      <w:proofErr w:type="spellEnd"/>
      <w:r w:rsidR="008332C5" w:rsidRPr="009B44DA">
        <w:rPr>
          <w:lang w:val="en-NZ"/>
        </w:rPr>
        <w:t xml:space="preserve"> Ora)</w:t>
      </w:r>
      <w:r w:rsidR="005748EE">
        <w:rPr>
          <w:lang w:val="en-NZ"/>
        </w:rPr>
        <w:t>.</w:t>
      </w:r>
    </w:p>
    <w:p w14:paraId="5C1A5754" w14:textId="297F7EC1" w:rsidR="008332C5" w:rsidRPr="009B44DA" w:rsidRDefault="009B44DA" w:rsidP="009B44DA">
      <w:pPr>
        <w:spacing w:after="400"/>
        <w:ind w:left="720" w:hanging="720"/>
        <w:rPr>
          <w:lang w:val="en-NZ"/>
        </w:rPr>
      </w:pPr>
      <w:r w:rsidRPr="009B44DA">
        <w:rPr>
          <w:b/>
          <w:bCs/>
          <w:lang w:val="en-NZ"/>
        </w:rPr>
        <w:t>2.</w:t>
      </w:r>
      <w:r>
        <w:rPr>
          <w:lang w:val="en-NZ"/>
        </w:rPr>
        <w:tab/>
      </w:r>
      <w:r w:rsidR="008332C5" w:rsidRPr="009B44DA">
        <w:rPr>
          <w:lang w:val="en-NZ"/>
        </w:rPr>
        <w:t xml:space="preserve">2024 final report </w:t>
      </w:r>
      <w:proofErr w:type="spellStart"/>
      <w:r w:rsidR="008332C5" w:rsidRPr="009B44DA">
        <w:rPr>
          <w:lang w:val="en-NZ"/>
        </w:rPr>
        <w:t>Whanaketia</w:t>
      </w:r>
      <w:proofErr w:type="spellEnd"/>
      <w:r w:rsidR="008332C5" w:rsidRPr="009B44DA">
        <w:rPr>
          <w:lang w:val="en-NZ"/>
        </w:rPr>
        <w:t xml:space="preserve"> – Through pain and trauma, from darkness to light </w:t>
      </w:r>
      <w:proofErr w:type="spellStart"/>
      <w:r w:rsidR="008332C5" w:rsidRPr="009B44DA">
        <w:rPr>
          <w:lang w:val="en-NZ"/>
        </w:rPr>
        <w:t>Whakairihia</w:t>
      </w:r>
      <w:proofErr w:type="spellEnd"/>
      <w:r w:rsidR="008332C5" w:rsidRPr="009B44DA">
        <w:rPr>
          <w:lang w:val="en-NZ"/>
        </w:rPr>
        <w:t xml:space="preserve"> ki te </w:t>
      </w:r>
      <w:proofErr w:type="spellStart"/>
      <w:r w:rsidR="008332C5" w:rsidRPr="009B44DA">
        <w:rPr>
          <w:lang w:val="en-NZ"/>
        </w:rPr>
        <w:t>tihi</w:t>
      </w:r>
      <w:proofErr w:type="spellEnd"/>
      <w:r w:rsidR="008332C5" w:rsidRPr="009B44DA">
        <w:rPr>
          <w:lang w:val="en-NZ"/>
        </w:rPr>
        <w:t xml:space="preserve"> o </w:t>
      </w:r>
      <w:proofErr w:type="spellStart"/>
      <w:r w:rsidR="008332C5" w:rsidRPr="009B44DA">
        <w:rPr>
          <w:lang w:val="en-NZ"/>
        </w:rPr>
        <w:t>Maungārongo</w:t>
      </w:r>
      <w:proofErr w:type="spellEnd"/>
      <w:r w:rsidR="008332C5" w:rsidRPr="009B44DA">
        <w:rPr>
          <w:lang w:val="en-NZ"/>
        </w:rPr>
        <w:t xml:space="preserve"> (</w:t>
      </w:r>
      <w:proofErr w:type="spellStart"/>
      <w:r w:rsidR="008332C5" w:rsidRPr="009B44DA">
        <w:rPr>
          <w:lang w:val="en-NZ"/>
        </w:rPr>
        <w:t>Whanaketia</w:t>
      </w:r>
      <w:proofErr w:type="spellEnd"/>
      <w:r w:rsidR="008332C5" w:rsidRPr="009B44DA">
        <w:rPr>
          <w:lang w:val="en-NZ"/>
        </w:rPr>
        <w:t xml:space="preserve">). </w:t>
      </w:r>
    </w:p>
    <w:p w14:paraId="79950FEC" w14:textId="77777777" w:rsidR="008332C5" w:rsidRDefault="008332C5" w:rsidP="009316BC">
      <w:r w:rsidRPr="009F2610">
        <w:rPr>
          <w:rStyle w:val="Strong"/>
        </w:rPr>
        <w:t xml:space="preserve">He </w:t>
      </w:r>
      <w:proofErr w:type="spellStart"/>
      <w:r w:rsidRPr="009F2610">
        <w:rPr>
          <w:rStyle w:val="Strong"/>
        </w:rPr>
        <w:t>Purapura</w:t>
      </w:r>
      <w:proofErr w:type="spellEnd"/>
      <w:r w:rsidRPr="009F2610">
        <w:rPr>
          <w:rStyle w:val="Strong"/>
        </w:rPr>
        <w:t xml:space="preserve"> Ora</w:t>
      </w:r>
      <w:r w:rsidRPr="006100BB">
        <w:t xml:space="preserve"> made 95 recommendations</w:t>
      </w:r>
      <w:r w:rsidRPr="009623D4">
        <w:t xml:space="preserve"> for changes to compensation and litigation frameworks, apologies, redress systems and processes for survivors of abuse and neglect in care. </w:t>
      </w:r>
    </w:p>
    <w:p w14:paraId="35B36CDA" w14:textId="0CFD8AFA" w:rsidR="004F3F9E" w:rsidRDefault="008332C5" w:rsidP="00837309">
      <w:proofErr w:type="spellStart"/>
      <w:r w:rsidRPr="009F2610">
        <w:rPr>
          <w:rStyle w:val="Strong"/>
        </w:rPr>
        <w:t>Whanaketia</w:t>
      </w:r>
      <w:proofErr w:type="spellEnd"/>
      <w:r w:rsidRPr="006100BB">
        <w:rPr>
          <w:i/>
          <w:iCs/>
        </w:rPr>
        <w:t xml:space="preserve"> </w:t>
      </w:r>
      <w:r w:rsidRPr="006100BB">
        <w:t>contains 138 recommendations</w:t>
      </w:r>
      <w:r w:rsidRPr="009623D4">
        <w:t xml:space="preserve"> </w:t>
      </w:r>
      <w:r>
        <w:t xml:space="preserve">to make the </w:t>
      </w:r>
      <w:r w:rsidRPr="009623D4">
        <w:t>care system</w:t>
      </w:r>
      <w:r>
        <w:t xml:space="preserve"> safer</w:t>
      </w:r>
      <w:r w:rsidRPr="009623D4">
        <w:t xml:space="preserve"> and empower and invest in whānau and communities.</w:t>
      </w:r>
      <w:r w:rsidR="009A324A">
        <w:t xml:space="preserve"> </w:t>
      </w:r>
      <w:r w:rsidR="004F3F9E">
        <w:br w:type="page"/>
      </w:r>
    </w:p>
    <w:p w14:paraId="5BE8E1BA" w14:textId="77777777" w:rsidR="008332C5" w:rsidRPr="00B300D4" w:rsidRDefault="008332C5" w:rsidP="00FB4A15">
      <w:pPr>
        <w:spacing w:after="80"/>
        <w:rPr>
          <w:lang w:val="en-NZ"/>
        </w:rPr>
      </w:pPr>
      <w:r w:rsidRPr="00B300D4">
        <w:rPr>
          <w:lang w:val="en-NZ"/>
        </w:rPr>
        <w:lastRenderedPageBreak/>
        <w:t>Of these 233 recommendations in total:</w:t>
      </w:r>
    </w:p>
    <w:p w14:paraId="1028889F" w14:textId="0547F46F" w:rsidR="008332C5" w:rsidRPr="009B44DA" w:rsidRDefault="008332C5" w:rsidP="009B44DA">
      <w:pPr>
        <w:pStyle w:val="ListParagraph"/>
      </w:pPr>
      <w:r w:rsidRPr="009B44DA">
        <w:t>207 are addressed to the Crown</w:t>
      </w:r>
      <w:r w:rsidR="005748EE">
        <w:t>.</w:t>
      </w:r>
    </w:p>
    <w:p w14:paraId="7E0DEC63" w14:textId="77777777" w:rsidR="008332C5" w:rsidRPr="009B44DA" w:rsidRDefault="008332C5" w:rsidP="009B44DA">
      <w:pPr>
        <w:pStyle w:val="ListParagraph"/>
      </w:pPr>
      <w:r w:rsidRPr="009B44DA">
        <w:t>26 recommendations are for faith-based institutions and other named organisations in the care and justice systems.</w:t>
      </w:r>
    </w:p>
    <w:p w14:paraId="77328DBE" w14:textId="77777777" w:rsidR="008332C5" w:rsidRDefault="008332C5" w:rsidP="009A324A">
      <w:pPr>
        <w:pStyle w:val="Heading2"/>
      </w:pPr>
      <w:r w:rsidRPr="00960CBE">
        <w:t>About the Crown response</w:t>
      </w:r>
    </w:p>
    <w:p w14:paraId="6974B4EC" w14:textId="77777777" w:rsidR="008332C5" w:rsidRDefault="008332C5" w:rsidP="00FB4A15">
      <w:pPr>
        <w:spacing w:after="80"/>
        <w:rPr>
          <w:lang w:val="en-NZ"/>
        </w:rPr>
      </w:pPr>
      <w:r>
        <w:rPr>
          <w:lang w:val="en-NZ"/>
        </w:rPr>
        <w:t>As of May 2025, o</w:t>
      </w:r>
      <w:r w:rsidRPr="00B300D4">
        <w:rPr>
          <w:lang w:val="en-NZ"/>
        </w:rPr>
        <w:t>ut of the</w:t>
      </w:r>
      <w:r>
        <w:rPr>
          <w:lang w:val="en-NZ"/>
        </w:rPr>
        <w:t xml:space="preserve"> 207 recommendations for the Crown the government has: </w:t>
      </w:r>
    </w:p>
    <w:p w14:paraId="3D4DA829" w14:textId="3478E6C5" w:rsidR="008332C5" w:rsidRPr="00FB4A15" w:rsidRDefault="008332C5" w:rsidP="00FB4A15">
      <w:pPr>
        <w:pStyle w:val="ListParagraph"/>
      </w:pPr>
      <w:r w:rsidRPr="00FB4A15">
        <w:t>Accepted 19 recommendations</w:t>
      </w:r>
      <w:r w:rsidR="005748EE">
        <w:t>.</w:t>
      </w:r>
    </w:p>
    <w:p w14:paraId="67391258" w14:textId="1D39DFFF" w:rsidR="008332C5" w:rsidRPr="00FB4A15" w:rsidRDefault="008332C5" w:rsidP="00FB4A15">
      <w:pPr>
        <w:pStyle w:val="ListParagraph"/>
      </w:pPr>
      <w:r w:rsidRPr="00FB4A15">
        <w:t>Accepted the intent of 38 recommendations</w:t>
      </w:r>
      <w:r w:rsidR="005748EE">
        <w:t>.</w:t>
      </w:r>
    </w:p>
    <w:p w14:paraId="1381B7ED" w14:textId="5052F79A" w:rsidR="008332C5" w:rsidRPr="00FB4A15" w:rsidRDefault="008332C5" w:rsidP="00FB4A15">
      <w:pPr>
        <w:pStyle w:val="ListParagraph"/>
      </w:pPr>
      <w:r w:rsidRPr="00FB4A15">
        <w:t>Partially accepted 28 recommendations</w:t>
      </w:r>
      <w:r w:rsidR="005748EE">
        <w:t>.</w:t>
      </w:r>
    </w:p>
    <w:p w14:paraId="7279BF89" w14:textId="19F1B11B" w:rsidR="008332C5" w:rsidRPr="00FB4A15" w:rsidRDefault="008332C5" w:rsidP="00FB4A15">
      <w:pPr>
        <w:pStyle w:val="ListParagraph"/>
      </w:pPr>
      <w:r w:rsidRPr="00FB4A15">
        <w:t>Will need to further consider 99 recommendations</w:t>
      </w:r>
      <w:r w:rsidR="005748EE">
        <w:t>.</w:t>
      </w:r>
    </w:p>
    <w:p w14:paraId="43B5CCB3" w14:textId="77777777" w:rsidR="008332C5" w:rsidRPr="00FB4A15" w:rsidRDefault="008332C5" w:rsidP="00FB4A15">
      <w:pPr>
        <w:pStyle w:val="ListParagraph"/>
        <w:spacing w:after="400"/>
      </w:pPr>
      <w:r w:rsidRPr="00FB4A15">
        <w:t>Declined 23 recommendations.</w:t>
      </w:r>
    </w:p>
    <w:p w14:paraId="73CEA36B" w14:textId="77777777" w:rsidR="008332C5" w:rsidRPr="00671A12" w:rsidRDefault="008332C5" w:rsidP="00FB4A15">
      <w:pPr>
        <w:spacing w:after="80"/>
      </w:pPr>
      <w:bookmarkStart w:id="0" w:name="_Toc194407611"/>
      <w:r w:rsidRPr="00671A12">
        <w:t>The definitions of the response are:</w:t>
      </w:r>
    </w:p>
    <w:p w14:paraId="5960326F" w14:textId="77777777" w:rsidR="008332C5" w:rsidRPr="00671A12" w:rsidRDefault="008332C5" w:rsidP="009316BC">
      <w:r w:rsidRPr="009F2610">
        <w:rPr>
          <w:rStyle w:val="Strong"/>
        </w:rPr>
        <w:t>Accept</w:t>
      </w:r>
      <w:r w:rsidRPr="00671A12">
        <w:t>: The recommendation is accepted. It will be implemented as it was set out by the Royal Commission.</w:t>
      </w:r>
    </w:p>
    <w:p w14:paraId="5A7BC22F" w14:textId="77777777" w:rsidR="008332C5" w:rsidRPr="00671A12" w:rsidRDefault="008332C5" w:rsidP="009316BC">
      <w:r w:rsidRPr="009F2610">
        <w:rPr>
          <w:rStyle w:val="Strong"/>
        </w:rPr>
        <w:t>Accept intent</w:t>
      </w:r>
      <w:r w:rsidRPr="00671A12">
        <w:t>: The intent of the recommendation is accepted. It will be implemented in a different way than set out by the Royal Commission.</w:t>
      </w:r>
    </w:p>
    <w:p w14:paraId="58D57A90" w14:textId="77777777" w:rsidR="008332C5" w:rsidRPr="00671A12" w:rsidRDefault="008332C5" w:rsidP="009316BC">
      <w:r w:rsidRPr="009F2610">
        <w:rPr>
          <w:rStyle w:val="Strong"/>
        </w:rPr>
        <w:lastRenderedPageBreak/>
        <w:t>Partially accept</w:t>
      </w:r>
      <w:r w:rsidRPr="00671A12">
        <w:t>: One or more sub-parts of the recommendation are accepted as set out by the Royal Commission. The recommendation is not accepted in full.</w:t>
      </w:r>
    </w:p>
    <w:p w14:paraId="10CBB8F6" w14:textId="77777777" w:rsidR="008332C5" w:rsidRPr="00671A12" w:rsidRDefault="008332C5" w:rsidP="009316BC">
      <w:r w:rsidRPr="009F2610">
        <w:rPr>
          <w:rStyle w:val="Strong"/>
        </w:rPr>
        <w:t>Further consideration required</w:t>
      </w:r>
      <w:r w:rsidRPr="00671A12">
        <w:rPr>
          <w:b/>
          <w:bCs/>
        </w:rPr>
        <w:t>:</w:t>
      </w:r>
      <w:r w:rsidRPr="00671A12">
        <w:t xml:space="preserve"> The recommendation requires further consideration before a response can be determined.</w:t>
      </w:r>
    </w:p>
    <w:p w14:paraId="72837641" w14:textId="77777777" w:rsidR="008332C5" w:rsidRPr="00671A12" w:rsidRDefault="008332C5" w:rsidP="00FB4A15">
      <w:pPr>
        <w:spacing w:after="400"/>
      </w:pPr>
      <w:r w:rsidRPr="000861C2">
        <w:rPr>
          <w:rStyle w:val="Strong"/>
        </w:rPr>
        <w:t>Decline</w:t>
      </w:r>
      <w:r w:rsidRPr="00671A12">
        <w:t>: Following analysis and a decision-making process, the Crown declines to implement this recommendation.</w:t>
      </w:r>
    </w:p>
    <w:p w14:paraId="385C80FE" w14:textId="77777777" w:rsidR="008332C5" w:rsidRPr="008A4288" w:rsidRDefault="008332C5" w:rsidP="00BA186E">
      <w:pPr>
        <w:spacing w:after="80"/>
      </w:pPr>
      <w:r>
        <w:t xml:space="preserve">Since the release of </w:t>
      </w:r>
      <w:proofErr w:type="spellStart"/>
      <w:r w:rsidRPr="004F3F9E">
        <w:rPr>
          <w:b/>
          <w:bCs/>
        </w:rPr>
        <w:t>Whanaketia</w:t>
      </w:r>
      <w:proofErr w:type="spellEnd"/>
      <w:r w:rsidRPr="006100BB">
        <w:rPr>
          <w:i/>
          <w:iCs/>
        </w:rPr>
        <w:t xml:space="preserve"> </w:t>
      </w:r>
      <w:r>
        <w:t>in June 2024</w:t>
      </w:r>
      <w:r>
        <w:rPr>
          <w:rFonts w:ascii="Aptos" w:eastAsia="Aptos" w:hAnsi="Aptos" w:cs="Aptos"/>
        </w:rPr>
        <w:t xml:space="preserve">, </w:t>
      </w:r>
      <w:r>
        <w:t>several actions have been taken. These include:</w:t>
      </w:r>
    </w:p>
    <w:p w14:paraId="4FCD60F8" w14:textId="659C7C06" w:rsidR="008332C5" w:rsidRPr="00BA186E" w:rsidRDefault="008332C5" w:rsidP="00BA186E">
      <w:pPr>
        <w:pStyle w:val="ListParagraph"/>
      </w:pPr>
      <w:r w:rsidRPr="00BA186E">
        <w:t xml:space="preserve">public apologies made by the Prime Minister and seven public sector leaders from Oranga Tamariki, Ministry of Health, Ministry of Education, Ministry of Social Development, Crown Law, Police, and Te Kawa </w:t>
      </w:r>
      <w:proofErr w:type="spellStart"/>
      <w:r w:rsidRPr="00BA186E">
        <w:t>Mataaho</w:t>
      </w:r>
      <w:proofErr w:type="spellEnd"/>
      <w:r w:rsidRPr="00BA186E">
        <w:t xml:space="preserve"> Public Service Commission on 12 November 2024</w:t>
      </w:r>
      <w:r w:rsidR="003557ED">
        <w:t>.</w:t>
      </w:r>
    </w:p>
    <w:p w14:paraId="150DFBFD" w14:textId="3F4EDA55" w:rsidR="008332C5" w:rsidRPr="00BA186E" w:rsidRDefault="008332C5" w:rsidP="00BA186E">
      <w:pPr>
        <w:pStyle w:val="ListParagraph"/>
      </w:pPr>
      <w:r w:rsidRPr="00BA186E">
        <w:t>acknowledgement that torture occurred at Lake Alice Psychiatric Hospital Child and Adolescent Unit (Lake Alice)</w:t>
      </w:r>
      <w:r w:rsidR="003557ED">
        <w:t>.</w:t>
      </w:r>
    </w:p>
    <w:p w14:paraId="5488CFFB" w14:textId="4F1AB4C9" w:rsidR="008332C5" w:rsidRPr="00BA186E" w:rsidRDefault="008332C5" w:rsidP="00BA186E">
      <w:pPr>
        <w:pStyle w:val="ListParagraph"/>
      </w:pPr>
      <w:r w:rsidRPr="00BA186E">
        <w:t>an end-of-life payment of $20,000 for Lake Alice survivors along with work to address inequities in the reimbursement of legal fees</w:t>
      </w:r>
      <w:r w:rsidR="003557ED">
        <w:t>.</w:t>
      </w:r>
    </w:p>
    <w:p w14:paraId="1F9FBD6E" w14:textId="4E966EEA" w:rsidR="008332C5" w:rsidRPr="00BA186E" w:rsidRDefault="008332C5" w:rsidP="00BA186E">
      <w:pPr>
        <w:pStyle w:val="ListParagraph"/>
      </w:pPr>
      <w:bookmarkStart w:id="1" w:name="_Toc192833515"/>
      <w:r w:rsidRPr="00BA186E">
        <w:lastRenderedPageBreak/>
        <w:t>an investment of $32 million to increase capacity in current redress and claims systems from approximately 1350 to 1550 claims per year</w:t>
      </w:r>
      <w:r w:rsidR="003557ED">
        <w:t>.</w:t>
      </w:r>
    </w:p>
    <w:p w14:paraId="4E32F85B" w14:textId="7C29F66C" w:rsidR="008332C5" w:rsidRPr="00BA186E" w:rsidRDefault="008332C5" w:rsidP="00BA186E">
      <w:pPr>
        <w:pStyle w:val="ListParagraph"/>
      </w:pPr>
      <w:r w:rsidRPr="00BA186E">
        <w:t>a $2 million dual purpose survivor-focussed fund for local authorities, non-governmental organisations and community groups</w:t>
      </w:r>
      <w:r w:rsidR="003557ED">
        <w:t>.</w:t>
      </w:r>
    </w:p>
    <w:bookmarkEnd w:id="1"/>
    <w:p w14:paraId="146E9B45" w14:textId="70DF9141" w:rsidR="008332C5" w:rsidRPr="00BA186E" w:rsidRDefault="008332C5" w:rsidP="00BA186E">
      <w:pPr>
        <w:pStyle w:val="ListParagraph"/>
      </w:pPr>
      <w:r w:rsidRPr="00BA186E">
        <w:t>progression of the Responding to Abuse in Care Legislation Amendment Bill which supports the Crown response to a range of recommendations</w:t>
      </w:r>
      <w:r w:rsidR="003557ED">
        <w:t>.</w:t>
      </w:r>
    </w:p>
    <w:p w14:paraId="7247623B" w14:textId="4BD46CEA" w:rsidR="008332C5" w:rsidRPr="00BA186E" w:rsidRDefault="008332C5" w:rsidP="00BA186E">
      <w:pPr>
        <w:pStyle w:val="ListParagraph"/>
      </w:pPr>
      <w:r w:rsidRPr="00BA186E">
        <w:t>commitment to a national day of reflection on the one-year anniversary of the public apology, 12 November 2025</w:t>
      </w:r>
      <w:r w:rsidR="003557ED">
        <w:t>.</w:t>
      </w:r>
    </w:p>
    <w:p w14:paraId="37906C2B" w14:textId="2F63220E" w:rsidR="008332C5" w:rsidRPr="00BA186E" w:rsidRDefault="008332C5" w:rsidP="00BA186E">
      <w:pPr>
        <w:pStyle w:val="ListParagraph"/>
      </w:pPr>
      <w:r w:rsidRPr="00BA186E">
        <w:t>progressing of the Responding to Abuse in Care Legislation Amendment Bill</w:t>
      </w:r>
      <w:r w:rsidR="003557ED">
        <w:t>.</w:t>
      </w:r>
    </w:p>
    <w:p w14:paraId="3A92757A" w14:textId="091E2CC9" w:rsidR="008332C5" w:rsidRPr="00BA186E" w:rsidRDefault="008332C5" w:rsidP="00BA186E">
      <w:pPr>
        <w:pStyle w:val="ListParagraph"/>
      </w:pPr>
      <w:r w:rsidRPr="00BA186E">
        <w:t>Budget 2025 investment of $533 million over four years, for redress improvements</w:t>
      </w:r>
      <w:r w:rsidR="003557ED">
        <w:t>.</w:t>
      </w:r>
      <w:r w:rsidRPr="00BA186E">
        <w:t xml:space="preserve"> </w:t>
      </w:r>
    </w:p>
    <w:p w14:paraId="1FB1AA94" w14:textId="77777777" w:rsidR="008332C5" w:rsidRPr="00BA186E" w:rsidRDefault="008332C5" w:rsidP="00BA186E">
      <w:pPr>
        <w:pStyle w:val="ListParagraph"/>
        <w:spacing w:after="400"/>
      </w:pPr>
      <w:r w:rsidRPr="00BA186E">
        <w:t>Budget 2025 investment of $188.176 million over four years to ensure the safety of children, young people and vulnerable people.</w:t>
      </w:r>
    </w:p>
    <w:bookmarkEnd w:id="0"/>
    <w:p w14:paraId="152BF3BF" w14:textId="77777777" w:rsidR="00DE233D" w:rsidRDefault="008332C5" w:rsidP="009316BC">
      <w:r>
        <w:t xml:space="preserve">Because there are so many recommendations, and some of them are complex, the Crown response will take many years. </w:t>
      </w:r>
    </w:p>
    <w:p w14:paraId="7DE9C0C2" w14:textId="02265F8A" w:rsidR="008332C5" w:rsidRDefault="008332C5" w:rsidP="009316BC">
      <w:pPr>
        <w:rPr>
          <w:rFonts w:cs="Calibri"/>
        </w:rPr>
      </w:pPr>
      <w:r w:rsidRPr="00B7084B">
        <w:lastRenderedPageBreak/>
        <w:t xml:space="preserve">The Royal Commission </w:t>
      </w:r>
      <w:r>
        <w:t>thought the response could take</w:t>
      </w:r>
      <w:r w:rsidRPr="00B7084B">
        <w:t xml:space="preserve"> </w:t>
      </w:r>
      <w:r>
        <w:t>15</w:t>
      </w:r>
      <w:r w:rsidRPr="00B7084B">
        <w:t xml:space="preserve"> years.</w:t>
      </w:r>
      <w:r>
        <w:rPr>
          <w:rFonts w:ascii="Aptos" w:eastAsia="Aptos" w:hAnsi="Aptos" w:cs="Aptos"/>
        </w:rPr>
        <w:t xml:space="preserve"> </w:t>
      </w:r>
      <w:r w:rsidRPr="00DF23F5">
        <w:rPr>
          <w:rFonts w:cs="Calibri"/>
        </w:rPr>
        <w:t>Updates</w:t>
      </w:r>
      <w:r>
        <w:rPr>
          <w:rFonts w:cs="Calibri"/>
        </w:rPr>
        <w:t xml:space="preserve"> to the Crown response</w:t>
      </w:r>
      <w:r w:rsidRPr="00DF23F5">
        <w:rPr>
          <w:rFonts w:cs="Calibri"/>
        </w:rPr>
        <w:t xml:space="preserve"> will be published annually</w:t>
      </w:r>
      <w:r>
        <w:rPr>
          <w:rFonts w:cs="Calibri"/>
        </w:rPr>
        <w:t>.</w:t>
      </w:r>
    </w:p>
    <w:p w14:paraId="0B94E03F" w14:textId="77777777" w:rsidR="008332C5" w:rsidRDefault="008332C5" w:rsidP="009316BC">
      <w:r>
        <w:t>Relevant agencies and portfolio Ministers will remain responsible for delivery of the work and will seek decisions from Cabinet where required.</w:t>
      </w:r>
    </w:p>
    <w:p w14:paraId="696B7779" w14:textId="77777777" w:rsidR="008332C5" w:rsidRPr="00890CF0" w:rsidRDefault="008332C5" w:rsidP="009A324A">
      <w:pPr>
        <w:pStyle w:val="Heading2"/>
      </w:pPr>
      <w:r w:rsidRPr="00890CF0">
        <w:t>The response plan</w:t>
      </w:r>
    </w:p>
    <w:p w14:paraId="5AD34BB3" w14:textId="14E2D7A8" w:rsidR="008332C5" w:rsidRPr="00644BC2" w:rsidRDefault="008332C5" w:rsidP="009316BC">
      <w:r>
        <w:t xml:space="preserve">You can find digital and print copies of the response plan here: </w:t>
      </w:r>
      <w:hyperlink r:id="rId11" w:history="1">
        <w:r w:rsidR="00644BC2" w:rsidRPr="00AC3F6E">
          <w:rPr>
            <w:rStyle w:val="Hyperlink"/>
            <w:rFonts w:ascii="Aptos" w:hAnsi="Aptos" w:cs="Calibri"/>
          </w:rPr>
          <w:t>https://www.abuseinquiryresponse.govt.nz/news/newsletter/crown-response-to-the-royal-commission-of-inquiry/</w:t>
        </w:r>
      </w:hyperlink>
      <w:r w:rsidR="00644BC2">
        <w:t xml:space="preserve"> </w:t>
      </w:r>
      <w:r w:rsidR="00644BC2">
        <w:rPr>
          <w:b/>
          <w:bCs/>
        </w:rPr>
        <w:t>or here:</w:t>
      </w:r>
      <w:r w:rsidR="00644BC2" w:rsidRPr="00644BC2">
        <w:t xml:space="preserve"> </w:t>
      </w:r>
      <w:hyperlink r:id="rId12" w:history="1">
        <w:r w:rsidR="00644BC2" w:rsidRPr="00644BC2">
          <w:rPr>
            <w:rStyle w:val="Hyperlink"/>
            <w:rFonts w:ascii="Aptos" w:hAnsi="Aptos" w:cs="Calibri"/>
          </w:rPr>
          <w:t>https://tinyurl.com/5ey3n7sr</w:t>
        </w:r>
      </w:hyperlink>
    </w:p>
    <w:p w14:paraId="770BFDB2" w14:textId="69A86F3B" w:rsidR="008332C5" w:rsidRDefault="008332C5" w:rsidP="009316BC">
      <w:pPr>
        <w:rPr>
          <w:rFonts w:ascii="Aptos" w:hAnsi="Aptos" w:cs="Calibri"/>
          <w:b/>
          <w:bCs/>
        </w:rPr>
      </w:pPr>
      <w:r w:rsidRPr="00671A12">
        <w:rPr>
          <w:rFonts w:ascii="Aptos" w:hAnsi="Aptos" w:cs="Calibri"/>
        </w:rPr>
        <w:t xml:space="preserve">You can find proactively released Cabinet papers about the response here: </w:t>
      </w:r>
      <w:hyperlink r:id="rId13" w:history="1">
        <w:r w:rsidR="00644BC2" w:rsidRPr="00AC3F6E">
          <w:rPr>
            <w:rStyle w:val="Hyperlink"/>
            <w:rFonts w:ascii="Aptos" w:hAnsi="Aptos" w:cs="Calibri"/>
          </w:rPr>
          <w:t>https://www.abuseinquiryresponse.govt.nz/information-releases/cabinet-papers-and-minutes/proactive-release-of-decisions-about-the-governments-response</w:t>
        </w:r>
      </w:hyperlink>
      <w:r w:rsidR="00644BC2">
        <w:rPr>
          <w:rFonts w:ascii="Aptos" w:hAnsi="Aptos" w:cs="Calibri"/>
        </w:rPr>
        <w:t xml:space="preserve"> </w:t>
      </w:r>
      <w:r w:rsidR="00644BC2">
        <w:rPr>
          <w:rFonts w:ascii="Aptos" w:hAnsi="Aptos" w:cs="Calibri"/>
          <w:b/>
          <w:bCs/>
        </w:rPr>
        <w:t xml:space="preserve">or here: </w:t>
      </w:r>
      <w:hyperlink r:id="rId14" w:history="1">
        <w:r w:rsidR="00644BC2" w:rsidRPr="00644BC2">
          <w:rPr>
            <w:rStyle w:val="Hyperlink"/>
            <w:rFonts w:ascii="Aptos" w:hAnsi="Aptos" w:cs="Calibri"/>
          </w:rPr>
          <w:t>https://tinyurl.com/53573jhm</w:t>
        </w:r>
      </w:hyperlink>
      <w:r w:rsidR="00644BC2">
        <w:rPr>
          <w:rFonts w:ascii="Aptos" w:hAnsi="Aptos" w:cs="Calibri"/>
          <w:b/>
          <w:bCs/>
        </w:rPr>
        <w:t xml:space="preserve"> </w:t>
      </w:r>
    </w:p>
    <w:p w14:paraId="397328CE" w14:textId="323BB5DE" w:rsidR="005407FA" w:rsidRDefault="005407FA" w:rsidP="005407FA">
      <w:pPr>
        <w:spacing w:before="600"/>
        <w:rPr>
          <w:rFonts w:ascii="Arial Bold" w:hAnsi="Arial Bold"/>
          <w:b/>
          <w:sz w:val="40"/>
        </w:rPr>
      </w:pPr>
      <w:r w:rsidRPr="00D20845">
        <w:rPr>
          <w:b/>
          <w:sz w:val="40"/>
        </w:rPr>
        <w:t>End of</w:t>
      </w:r>
      <w:r>
        <w:rPr>
          <w:b/>
          <w:sz w:val="40"/>
        </w:rPr>
        <w:t xml:space="preserve"> </w:t>
      </w:r>
      <w:r w:rsidR="003B4557">
        <w:rPr>
          <w:b/>
          <w:sz w:val="40"/>
        </w:rPr>
        <w:t xml:space="preserve">Summary: Crown response to the Royal Commission into Historical Abuse in State Care and in the Care of Faith-based </w:t>
      </w:r>
      <w:r w:rsidR="00A7698C">
        <w:rPr>
          <w:b/>
          <w:sz w:val="40"/>
        </w:rPr>
        <w:t>institutions</w:t>
      </w:r>
    </w:p>
    <w:p w14:paraId="5DBB9944" w14:textId="357335FA" w:rsidR="000861C2" w:rsidRPr="00A7698C" w:rsidRDefault="005407FA" w:rsidP="00A7698C">
      <w:pPr>
        <w:spacing w:before="400"/>
      </w:pPr>
      <w:r w:rsidRPr="00270A17">
        <w:lastRenderedPageBreak/>
        <w:t xml:space="preserve">This Large Print document is adapted by Blind Citizens NZ from the standard document provided by </w:t>
      </w:r>
      <w:r>
        <w:t xml:space="preserve">the </w:t>
      </w:r>
      <w:r w:rsidR="009B1F66">
        <w:t>Crown Response Office</w:t>
      </w:r>
    </w:p>
    <w:p w14:paraId="7F26FFBF" w14:textId="77777777" w:rsidR="00FB69B8" w:rsidRDefault="00FB69B8" w:rsidP="009316BC"/>
    <w:sectPr w:rsidR="00FB69B8" w:rsidSect="000C472F">
      <w:headerReference w:type="even" r:id="rId15"/>
      <w:headerReference w:type="firs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E86F" w14:textId="77777777" w:rsidR="001467CC" w:rsidRDefault="001467CC" w:rsidP="009316BC">
      <w:r>
        <w:separator/>
      </w:r>
    </w:p>
  </w:endnote>
  <w:endnote w:type="continuationSeparator" w:id="0">
    <w:p w14:paraId="6FB1913E" w14:textId="77777777" w:rsidR="001467CC" w:rsidRDefault="001467CC" w:rsidP="0093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DB22C" w14:textId="77777777" w:rsidR="001467CC" w:rsidRDefault="001467CC" w:rsidP="009316BC">
      <w:r>
        <w:separator/>
      </w:r>
    </w:p>
  </w:footnote>
  <w:footnote w:type="continuationSeparator" w:id="0">
    <w:p w14:paraId="4E942355" w14:textId="77777777" w:rsidR="001467CC" w:rsidRDefault="001467CC" w:rsidP="0093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8323" w14:textId="759C2168" w:rsidR="00644BC2" w:rsidRDefault="00644BC2" w:rsidP="009316BC">
    <w:pPr>
      <w:pStyle w:val="Header"/>
    </w:pPr>
    <w:r>
      <w:rPr>
        <w:noProof/>
      </w:rPr>
      <mc:AlternateContent>
        <mc:Choice Requires="wps">
          <w:drawing>
            <wp:anchor distT="0" distB="0" distL="0" distR="0" simplePos="0" relativeHeight="251658241" behindDoc="0" locked="0" layoutInCell="1" allowOverlap="1" wp14:anchorId="01BA8C2B" wp14:editId="74EA30F4">
              <wp:simplePos x="635" y="635"/>
              <wp:positionH relativeFrom="page">
                <wp:align>center</wp:align>
              </wp:positionH>
              <wp:positionV relativeFrom="page">
                <wp:align>top</wp:align>
              </wp:positionV>
              <wp:extent cx="443865" cy="443865"/>
              <wp:effectExtent l="0" t="0" r="8890" b="10160"/>
              <wp:wrapNone/>
              <wp:docPr id="190573912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A8F25" w14:textId="40927C06" w:rsidR="00644BC2" w:rsidRPr="00644BC2" w:rsidRDefault="00644BC2" w:rsidP="009316BC">
                          <w:pPr>
                            <w:rPr>
                              <w:noProof/>
                            </w:rPr>
                          </w:pPr>
                          <w:r w:rsidRPr="00644BC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BA8C2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3A8F25" w14:textId="40927C06" w:rsidR="00644BC2" w:rsidRPr="00644BC2" w:rsidRDefault="00644BC2" w:rsidP="009316BC">
                    <w:pPr>
                      <w:rPr>
                        <w:noProof/>
                      </w:rPr>
                    </w:pPr>
                    <w:r w:rsidRPr="00644BC2">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1784" w14:textId="1FC866A6" w:rsidR="00644BC2" w:rsidRDefault="00644BC2" w:rsidP="009316BC">
    <w:pPr>
      <w:pStyle w:val="Header"/>
    </w:pPr>
    <w:r>
      <w:rPr>
        <w:noProof/>
      </w:rPr>
      <mc:AlternateContent>
        <mc:Choice Requires="wps">
          <w:drawing>
            <wp:anchor distT="0" distB="0" distL="0" distR="0" simplePos="0" relativeHeight="251658240" behindDoc="0" locked="0" layoutInCell="1" allowOverlap="1" wp14:anchorId="6616BF9A" wp14:editId="3010DE50">
              <wp:simplePos x="635" y="635"/>
              <wp:positionH relativeFrom="page">
                <wp:align>center</wp:align>
              </wp:positionH>
              <wp:positionV relativeFrom="page">
                <wp:align>top</wp:align>
              </wp:positionV>
              <wp:extent cx="443865" cy="443865"/>
              <wp:effectExtent l="0" t="0" r="8890" b="10160"/>
              <wp:wrapNone/>
              <wp:docPr id="949220292"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F5535" w14:textId="3EF4AFD7" w:rsidR="00644BC2" w:rsidRPr="00644BC2" w:rsidRDefault="00644BC2" w:rsidP="009316BC">
                          <w:pPr>
                            <w:rPr>
                              <w:noProof/>
                            </w:rPr>
                          </w:pPr>
                          <w:r w:rsidRPr="00644BC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6BF9A"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B7F5535" w14:textId="3EF4AFD7" w:rsidR="00644BC2" w:rsidRPr="00644BC2" w:rsidRDefault="00644BC2" w:rsidP="009316BC">
                    <w:pPr>
                      <w:rPr>
                        <w:noProof/>
                      </w:rPr>
                    </w:pPr>
                    <w:r w:rsidRPr="00644BC2">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11336"/>
    <w:multiLevelType w:val="hybridMultilevel"/>
    <w:tmpl w:val="41FE3D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B4C4CEC"/>
    <w:multiLevelType w:val="hybridMultilevel"/>
    <w:tmpl w:val="5A3AF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D61018"/>
    <w:multiLevelType w:val="hybridMultilevel"/>
    <w:tmpl w:val="94842666"/>
    <w:lvl w:ilvl="0" w:tplc="76B0D38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F4D5E89"/>
    <w:multiLevelType w:val="hybridMultilevel"/>
    <w:tmpl w:val="FFFFFFFF"/>
    <w:lvl w:ilvl="0" w:tplc="9160BD44">
      <w:start w:val="1"/>
      <w:numFmt w:val="bullet"/>
      <w:lvlText w:val=""/>
      <w:lvlJc w:val="left"/>
      <w:pPr>
        <w:ind w:left="720" w:hanging="360"/>
      </w:pPr>
      <w:rPr>
        <w:rFonts w:ascii="Symbol" w:hAnsi="Symbol" w:hint="default"/>
      </w:rPr>
    </w:lvl>
    <w:lvl w:ilvl="1" w:tplc="4CAE16DE">
      <w:start w:val="1"/>
      <w:numFmt w:val="bullet"/>
      <w:lvlText w:val="o"/>
      <w:lvlJc w:val="left"/>
      <w:pPr>
        <w:ind w:left="1440" w:hanging="360"/>
      </w:pPr>
      <w:rPr>
        <w:rFonts w:ascii="Courier New" w:hAnsi="Courier New" w:hint="default"/>
      </w:rPr>
    </w:lvl>
    <w:lvl w:ilvl="2" w:tplc="8F30CD34">
      <w:start w:val="1"/>
      <w:numFmt w:val="bullet"/>
      <w:lvlText w:val=""/>
      <w:lvlJc w:val="left"/>
      <w:pPr>
        <w:ind w:left="2160" w:hanging="360"/>
      </w:pPr>
      <w:rPr>
        <w:rFonts w:ascii="Wingdings" w:hAnsi="Wingdings" w:hint="default"/>
      </w:rPr>
    </w:lvl>
    <w:lvl w:ilvl="3" w:tplc="EB20E7B4">
      <w:start w:val="1"/>
      <w:numFmt w:val="bullet"/>
      <w:lvlText w:val=""/>
      <w:lvlJc w:val="left"/>
      <w:pPr>
        <w:ind w:left="2880" w:hanging="360"/>
      </w:pPr>
      <w:rPr>
        <w:rFonts w:ascii="Symbol" w:hAnsi="Symbol" w:hint="default"/>
      </w:rPr>
    </w:lvl>
    <w:lvl w:ilvl="4" w:tplc="9C005944">
      <w:start w:val="1"/>
      <w:numFmt w:val="bullet"/>
      <w:lvlText w:val="o"/>
      <w:lvlJc w:val="left"/>
      <w:pPr>
        <w:ind w:left="3600" w:hanging="360"/>
      </w:pPr>
      <w:rPr>
        <w:rFonts w:ascii="Courier New" w:hAnsi="Courier New" w:hint="default"/>
      </w:rPr>
    </w:lvl>
    <w:lvl w:ilvl="5" w:tplc="10D05F3A">
      <w:start w:val="1"/>
      <w:numFmt w:val="bullet"/>
      <w:lvlText w:val=""/>
      <w:lvlJc w:val="left"/>
      <w:pPr>
        <w:ind w:left="4320" w:hanging="360"/>
      </w:pPr>
      <w:rPr>
        <w:rFonts w:ascii="Wingdings" w:hAnsi="Wingdings" w:hint="default"/>
      </w:rPr>
    </w:lvl>
    <w:lvl w:ilvl="6" w:tplc="C2FE025C">
      <w:start w:val="1"/>
      <w:numFmt w:val="bullet"/>
      <w:lvlText w:val=""/>
      <w:lvlJc w:val="left"/>
      <w:pPr>
        <w:ind w:left="5040" w:hanging="360"/>
      </w:pPr>
      <w:rPr>
        <w:rFonts w:ascii="Symbol" w:hAnsi="Symbol" w:hint="default"/>
      </w:rPr>
    </w:lvl>
    <w:lvl w:ilvl="7" w:tplc="C6009CFA">
      <w:start w:val="1"/>
      <w:numFmt w:val="bullet"/>
      <w:lvlText w:val="o"/>
      <w:lvlJc w:val="left"/>
      <w:pPr>
        <w:ind w:left="5760" w:hanging="360"/>
      </w:pPr>
      <w:rPr>
        <w:rFonts w:ascii="Courier New" w:hAnsi="Courier New" w:hint="default"/>
      </w:rPr>
    </w:lvl>
    <w:lvl w:ilvl="8" w:tplc="ADA04E78">
      <w:start w:val="1"/>
      <w:numFmt w:val="bullet"/>
      <w:lvlText w:val=""/>
      <w:lvlJc w:val="left"/>
      <w:pPr>
        <w:ind w:left="6480" w:hanging="360"/>
      </w:pPr>
      <w:rPr>
        <w:rFonts w:ascii="Wingdings" w:hAnsi="Wingdings" w:hint="default"/>
      </w:rPr>
    </w:lvl>
  </w:abstractNum>
  <w:num w:numId="1" w16cid:durableId="1796408994">
    <w:abstractNumId w:val="0"/>
  </w:num>
  <w:num w:numId="2" w16cid:durableId="1494370052">
    <w:abstractNumId w:val="2"/>
  </w:num>
  <w:num w:numId="3" w16cid:durableId="1146973802">
    <w:abstractNumId w:val="1"/>
  </w:num>
  <w:num w:numId="4" w16cid:durableId="91438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C5"/>
    <w:rsid w:val="000266EB"/>
    <w:rsid w:val="000861C2"/>
    <w:rsid w:val="000B42DD"/>
    <w:rsid w:val="000C472F"/>
    <w:rsid w:val="000E7EF5"/>
    <w:rsid w:val="000F0FAA"/>
    <w:rsid w:val="001467CC"/>
    <w:rsid w:val="00181494"/>
    <w:rsid w:val="00200343"/>
    <w:rsid w:val="002A3E01"/>
    <w:rsid w:val="002A617E"/>
    <w:rsid w:val="003557ED"/>
    <w:rsid w:val="00375A07"/>
    <w:rsid w:val="003A0EFD"/>
    <w:rsid w:val="003B4557"/>
    <w:rsid w:val="004F3F9E"/>
    <w:rsid w:val="005407FA"/>
    <w:rsid w:val="00544804"/>
    <w:rsid w:val="005748EE"/>
    <w:rsid w:val="0063596B"/>
    <w:rsid w:val="00644BC2"/>
    <w:rsid w:val="008332C5"/>
    <w:rsid w:val="00837309"/>
    <w:rsid w:val="0089290B"/>
    <w:rsid w:val="008A02A2"/>
    <w:rsid w:val="009272A5"/>
    <w:rsid w:val="009316BC"/>
    <w:rsid w:val="0097155E"/>
    <w:rsid w:val="009A324A"/>
    <w:rsid w:val="009B1F66"/>
    <w:rsid w:val="009B44DA"/>
    <w:rsid w:val="009F2610"/>
    <w:rsid w:val="00A45D2E"/>
    <w:rsid w:val="00A7698C"/>
    <w:rsid w:val="00BA186E"/>
    <w:rsid w:val="00BA2743"/>
    <w:rsid w:val="00BC7E18"/>
    <w:rsid w:val="00C244D0"/>
    <w:rsid w:val="00C51A37"/>
    <w:rsid w:val="00CB3D87"/>
    <w:rsid w:val="00D461F8"/>
    <w:rsid w:val="00D52DFF"/>
    <w:rsid w:val="00DA2681"/>
    <w:rsid w:val="00DE233D"/>
    <w:rsid w:val="00EE3E3B"/>
    <w:rsid w:val="00FA66D3"/>
    <w:rsid w:val="00FB4A15"/>
    <w:rsid w:val="00FB69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93B46"/>
  <w15:chartTrackingRefBased/>
  <w15:docId w15:val="{96E01A01-312E-4DF8-B44F-BAB9A8C0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BC"/>
    <w:pPr>
      <w:spacing w:after="320" w:line="336" w:lineRule="auto"/>
    </w:pPr>
    <w:rPr>
      <w:rFonts w:ascii="Arial" w:eastAsia="Calibri" w:hAnsi="Arial" w:cs="Arial"/>
      <w:kern w:val="0"/>
      <w:sz w:val="36"/>
      <w:szCs w:val="36"/>
      <w:lang w:val="en-GB" w:eastAsia="ja-JP"/>
      <w14:ligatures w14:val="none"/>
    </w:rPr>
  </w:style>
  <w:style w:type="paragraph" w:styleId="Heading1">
    <w:name w:val="heading 1"/>
    <w:basedOn w:val="Normal"/>
    <w:next w:val="Normal"/>
    <w:link w:val="Heading1Char"/>
    <w:uiPriority w:val="9"/>
    <w:qFormat/>
    <w:rsid w:val="000C472F"/>
    <w:pPr>
      <w:keepNext/>
      <w:keepLines/>
      <w:spacing w:before="360" w:after="80"/>
      <w:outlineLvl w:val="0"/>
    </w:pPr>
    <w:rPr>
      <w:rFonts w:eastAsiaTheme="majorEastAsia"/>
      <w:b/>
      <w:bCs/>
      <w:sz w:val="64"/>
      <w:szCs w:val="64"/>
    </w:rPr>
  </w:style>
  <w:style w:type="paragraph" w:styleId="Heading2">
    <w:name w:val="heading 2"/>
    <w:basedOn w:val="Normal"/>
    <w:next w:val="Normal"/>
    <w:link w:val="Heading2Char"/>
    <w:uiPriority w:val="9"/>
    <w:unhideWhenUsed/>
    <w:qFormat/>
    <w:rsid w:val="009A324A"/>
    <w:pPr>
      <w:keepNext/>
      <w:keepLines/>
      <w:spacing w:before="480" w:after="80"/>
      <w:outlineLvl w:val="1"/>
    </w:pPr>
    <w:rPr>
      <w:rFonts w:ascii="Arial Bold" w:eastAsiaTheme="majorEastAsia" w:hAnsi="Arial Bold"/>
      <w:b/>
      <w:bCs/>
      <w:sz w:val="52"/>
      <w:szCs w:val="48"/>
    </w:rPr>
  </w:style>
  <w:style w:type="paragraph" w:styleId="Heading3">
    <w:name w:val="heading 3"/>
    <w:basedOn w:val="Normal"/>
    <w:next w:val="Normal"/>
    <w:link w:val="Heading3Char"/>
    <w:uiPriority w:val="9"/>
    <w:semiHidden/>
    <w:unhideWhenUsed/>
    <w:qFormat/>
    <w:rsid w:val="00833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72F"/>
    <w:rPr>
      <w:rFonts w:ascii="Arial" w:eastAsiaTheme="majorEastAsia" w:hAnsi="Arial" w:cs="Arial"/>
      <w:b/>
      <w:bCs/>
      <w:kern w:val="0"/>
      <w:sz w:val="64"/>
      <w:szCs w:val="64"/>
      <w:lang w:val="en-GB" w:eastAsia="ja-JP"/>
      <w14:ligatures w14:val="none"/>
    </w:rPr>
  </w:style>
  <w:style w:type="character" w:customStyle="1" w:styleId="Heading2Char">
    <w:name w:val="Heading 2 Char"/>
    <w:basedOn w:val="DefaultParagraphFont"/>
    <w:link w:val="Heading2"/>
    <w:uiPriority w:val="9"/>
    <w:rsid w:val="009A324A"/>
    <w:rPr>
      <w:rFonts w:ascii="Arial Bold" w:eastAsiaTheme="majorEastAsia" w:hAnsi="Arial Bold" w:cs="Arial"/>
      <w:b/>
      <w:bCs/>
      <w:kern w:val="0"/>
      <w:sz w:val="52"/>
      <w:szCs w:val="48"/>
      <w:lang w:val="en-GB" w:eastAsia="ja-JP"/>
      <w14:ligatures w14:val="none"/>
    </w:rPr>
  </w:style>
  <w:style w:type="character" w:customStyle="1" w:styleId="Heading3Char">
    <w:name w:val="Heading 3 Char"/>
    <w:basedOn w:val="DefaultParagraphFont"/>
    <w:link w:val="Heading3"/>
    <w:uiPriority w:val="9"/>
    <w:semiHidden/>
    <w:rsid w:val="00833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2C5"/>
    <w:rPr>
      <w:rFonts w:eastAsiaTheme="majorEastAsia" w:cstheme="majorBidi"/>
      <w:color w:val="272727" w:themeColor="text1" w:themeTint="D8"/>
    </w:rPr>
  </w:style>
  <w:style w:type="paragraph" w:styleId="Title">
    <w:name w:val="Title"/>
    <w:basedOn w:val="Normal"/>
    <w:next w:val="Normal"/>
    <w:link w:val="TitleChar"/>
    <w:uiPriority w:val="10"/>
    <w:qFormat/>
    <w:rsid w:val="00833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2C5"/>
    <w:pPr>
      <w:spacing w:before="160"/>
      <w:jc w:val="center"/>
    </w:pPr>
    <w:rPr>
      <w:i/>
      <w:iCs/>
      <w:color w:val="404040" w:themeColor="text1" w:themeTint="BF"/>
    </w:rPr>
  </w:style>
  <w:style w:type="character" w:customStyle="1" w:styleId="QuoteChar">
    <w:name w:val="Quote Char"/>
    <w:basedOn w:val="DefaultParagraphFont"/>
    <w:link w:val="Quote"/>
    <w:uiPriority w:val="29"/>
    <w:rsid w:val="008332C5"/>
    <w:rPr>
      <w:i/>
      <w:iCs/>
      <w:color w:val="404040" w:themeColor="text1" w:themeTint="BF"/>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リスト段落1,L"/>
    <w:basedOn w:val="Normal"/>
    <w:link w:val="ListParagraphChar"/>
    <w:uiPriority w:val="34"/>
    <w:qFormat/>
    <w:rsid w:val="009B44DA"/>
    <w:pPr>
      <w:numPr>
        <w:numId w:val="2"/>
      </w:numPr>
      <w:spacing w:after="200"/>
      <w:ind w:left="357" w:hanging="357"/>
    </w:pPr>
    <w:rPr>
      <w:lang w:val="en-NZ"/>
    </w:rPr>
  </w:style>
  <w:style w:type="character" w:styleId="IntenseEmphasis">
    <w:name w:val="Intense Emphasis"/>
    <w:basedOn w:val="DefaultParagraphFont"/>
    <w:uiPriority w:val="21"/>
    <w:qFormat/>
    <w:rsid w:val="008332C5"/>
    <w:rPr>
      <w:i/>
      <w:iCs/>
      <w:color w:val="0F4761" w:themeColor="accent1" w:themeShade="BF"/>
    </w:rPr>
  </w:style>
  <w:style w:type="paragraph" w:styleId="IntenseQuote">
    <w:name w:val="Intense Quote"/>
    <w:basedOn w:val="Normal"/>
    <w:next w:val="Normal"/>
    <w:link w:val="IntenseQuoteChar"/>
    <w:uiPriority w:val="30"/>
    <w:qFormat/>
    <w:rsid w:val="0083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2C5"/>
    <w:rPr>
      <w:i/>
      <w:iCs/>
      <w:color w:val="0F4761" w:themeColor="accent1" w:themeShade="BF"/>
    </w:rPr>
  </w:style>
  <w:style w:type="character" w:styleId="IntenseReference">
    <w:name w:val="Intense Reference"/>
    <w:basedOn w:val="DefaultParagraphFont"/>
    <w:uiPriority w:val="32"/>
    <w:qFormat/>
    <w:rsid w:val="008332C5"/>
    <w:rPr>
      <w:b/>
      <w:bCs/>
      <w:smallCaps/>
      <w:color w:val="0F4761" w:themeColor="accent1" w:themeShade="BF"/>
      <w:spacing w:val="5"/>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basedOn w:val="DefaultParagraphFont"/>
    <w:link w:val="ListParagraph"/>
    <w:uiPriority w:val="34"/>
    <w:qFormat/>
    <w:rsid w:val="009B44DA"/>
    <w:rPr>
      <w:rFonts w:ascii="Arial" w:eastAsia="Calibri" w:hAnsi="Arial" w:cs="Arial"/>
      <w:kern w:val="0"/>
      <w:sz w:val="36"/>
      <w:szCs w:val="36"/>
      <w:lang w:eastAsia="ja-JP"/>
      <w14:ligatures w14:val="none"/>
    </w:rPr>
  </w:style>
  <w:style w:type="character" w:styleId="Hyperlink">
    <w:name w:val="Hyperlink"/>
    <w:basedOn w:val="DefaultParagraphFont"/>
    <w:uiPriority w:val="99"/>
    <w:unhideWhenUsed/>
    <w:rsid w:val="00644BC2"/>
    <w:rPr>
      <w:color w:val="467886" w:themeColor="hyperlink"/>
      <w:u w:val="single"/>
    </w:rPr>
  </w:style>
  <w:style w:type="character" w:styleId="UnresolvedMention">
    <w:name w:val="Unresolved Mention"/>
    <w:basedOn w:val="DefaultParagraphFont"/>
    <w:uiPriority w:val="99"/>
    <w:semiHidden/>
    <w:unhideWhenUsed/>
    <w:rsid w:val="00644BC2"/>
    <w:rPr>
      <w:color w:val="605E5C"/>
      <w:shd w:val="clear" w:color="auto" w:fill="E1DFDD"/>
    </w:rPr>
  </w:style>
  <w:style w:type="paragraph" w:styleId="Header">
    <w:name w:val="header"/>
    <w:basedOn w:val="Normal"/>
    <w:link w:val="HeaderChar"/>
    <w:uiPriority w:val="99"/>
    <w:unhideWhenUsed/>
    <w:rsid w:val="00644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BC2"/>
    <w:rPr>
      <w:rFonts w:eastAsiaTheme="minorEastAsia"/>
      <w:kern w:val="0"/>
      <w:lang w:val="en-GB" w:eastAsia="ja-JP"/>
      <w14:ligatures w14:val="none"/>
    </w:rPr>
  </w:style>
  <w:style w:type="paragraph" w:styleId="Footer">
    <w:name w:val="footer"/>
    <w:basedOn w:val="Normal"/>
    <w:link w:val="FooterChar"/>
    <w:uiPriority w:val="99"/>
    <w:unhideWhenUsed/>
    <w:rsid w:val="000C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72F"/>
    <w:rPr>
      <w:rFonts w:ascii="Arial" w:eastAsia="Calibri" w:hAnsi="Arial" w:cs="Arial"/>
      <w:kern w:val="0"/>
      <w:sz w:val="36"/>
      <w:szCs w:val="36"/>
      <w:lang w:val="en-GB" w:eastAsia="ja-JP"/>
      <w14:ligatures w14:val="none"/>
    </w:rPr>
  </w:style>
  <w:style w:type="character" w:styleId="Strong">
    <w:name w:val="Strong"/>
    <w:basedOn w:val="DefaultParagraphFont"/>
    <w:uiPriority w:val="22"/>
    <w:qFormat/>
    <w:rsid w:val="009F2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useinquiryresponse.govt.nz/information-releases/cabinet-papers-and-minutes/proactive-release-of-decisions-about-the-governments-respo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5ey3n7s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useinquiryresponse.govt.nz/news/newsletter/crown-response-to-the-royal-commission-of-inquir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53573j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EB6080F5-3671-40D7-B8F2-054B0F934CEE}">
  <ds:schemaRefs>
    <ds:schemaRef ds:uri="http://schemas.microsoft.com/sharepoint/v3/contenttype/forms"/>
  </ds:schemaRefs>
</ds:datastoreItem>
</file>

<file path=customXml/itemProps2.xml><?xml version="1.0" encoding="utf-8"?>
<ds:datastoreItem xmlns:ds="http://schemas.openxmlformats.org/officeDocument/2006/customXml" ds:itemID="{D94793E1-8A76-4671-B87D-0E90134A6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83111-3C13-42AF-A08E-3C0650C25957}">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Links>
    <vt:vector size="24" baseType="variant">
      <vt:variant>
        <vt:i4>1966102</vt:i4>
      </vt:variant>
      <vt:variant>
        <vt:i4>9</vt:i4>
      </vt:variant>
      <vt:variant>
        <vt:i4>0</vt:i4>
      </vt:variant>
      <vt:variant>
        <vt:i4>5</vt:i4>
      </vt:variant>
      <vt:variant>
        <vt:lpwstr>https://tinyurl.com/53573jhm</vt:lpwstr>
      </vt:variant>
      <vt:variant>
        <vt:lpwstr/>
      </vt:variant>
      <vt:variant>
        <vt:i4>2424883</vt:i4>
      </vt:variant>
      <vt:variant>
        <vt:i4>6</vt:i4>
      </vt:variant>
      <vt:variant>
        <vt:i4>0</vt:i4>
      </vt:variant>
      <vt:variant>
        <vt:i4>5</vt:i4>
      </vt:variant>
      <vt:variant>
        <vt:lpwstr>https://www.abuseinquiryresponse.govt.nz/information-releases/cabinet-papers-and-minutes/proactive-release-of-decisions-about-the-governments-response</vt:lpwstr>
      </vt:variant>
      <vt:variant>
        <vt:lpwstr/>
      </vt:variant>
      <vt:variant>
        <vt:i4>917532</vt:i4>
      </vt:variant>
      <vt:variant>
        <vt:i4>3</vt:i4>
      </vt:variant>
      <vt:variant>
        <vt:i4>0</vt:i4>
      </vt:variant>
      <vt:variant>
        <vt:i4>5</vt:i4>
      </vt:variant>
      <vt:variant>
        <vt:lpwstr>https://tinyurl.com/5ey3n7sr</vt:lpwstr>
      </vt:variant>
      <vt:variant>
        <vt:lpwstr/>
      </vt:variant>
      <vt:variant>
        <vt:i4>3801144</vt:i4>
      </vt:variant>
      <vt:variant>
        <vt:i4>0</vt:i4>
      </vt:variant>
      <vt:variant>
        <vt:i4>0</vt:i4>
      </vt:variant>
      <vt:variant>
        <vt:i4>5</vt:i4>
      </vt:variant>
      <vt:variant>
        <vt:lpwstr>https://www.abuseinquiryresponse.govt.nz/news/newsletter/crown-response-to-the-royal-commission-of-inquiry/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31</cp:revision>
  <dcterms:created xsi:type="dcterms:W3CDTF">2025-06-25T20:27:00Z</dcterms:created>
  <dcterms:modified xsi:type="dcterms:W3CDTF">2025-07-01T06:20:00Z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3893f3c4,71974573,8765e6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2025-06-09T21:58:07Z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2e4ef034-788a-41b6-bb56-3344d79cd231</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ies>
</file>